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e1a4bd7c4cb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29033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VATROGASNA POSTROJBA KUTINA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572.121,09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746.779,23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535.354,43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707.226,65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36.766,66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39.552,58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5.001,37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32.060,60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5.001,37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32.060,60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12.441,24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6.220,59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12.441,24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6.220,59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19.324,05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1.271,39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Ostvareni prihodi sastoje se od vlastitih prihoda, prihoda od refundacije štete, tekućih donacija te prihoda nadležnog proračuna. Rashodi se sastoje od rashoda za zaposlene, rashoda za materijal i energiju, za usluge, za nabavu proizvedene dugotrajne imovine. Budući da su ukupni prihodi i primici veći od ukupnih rashoda i izdataka ostvaren je višak prihoda i primitaka.
Budući da su ukupni prihodi i primici veći od ukupnih rashoda i izdataka, ali je prenesen manjak iz 2024. godine, ostvaren je manjak prihoda i primitaka u ovom izvještajnom razdoblju.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5.430,43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refundirana je naknada štete.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bilo je manje donacija za FRRC 2025 (natjecanje vatrogasaca u spašavanju užetom iz dubina i sa visina- domaćin VP Kutina) nego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861,43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nabavljeno je manje sitnog inventara.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1.474,71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bilo je više sudionika u FRRC KUTINA 2025 (natjecanje vatrogasaca u spašavanju užetom iz dubina i sa visina- domaćin VP Kutina) i na Danu otvorenih vrata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Razlika se odnosi na različite kamate po otplatnom planu.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3.246,47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3.990,37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nabavljeni su Setovi za zaštitu i spašavanje za FRRC 2025 natjecanje i svjetiljke za kacige.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1.892,75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nabavljena je svjetiljka i kompresor.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ovoj godini nabavljeno je zapovjedno vozilo.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Iskazane obveze na dan 30.06.2025. god. odnose se na dospjele obveze za materijalne rashode. Vatrogasna postrojba Kutina nalazi se u sustavu Gradske riznice Grada Kutine te proces od „ulaska“ računa u sustav pa do trenutka njegove naplate obuhvaća nekoliko odobrenja od strane odgovornih osoba. Stoga ponekad do službenice koja vrši plaćanja stigne račun kojemu je već prošlo dospijeće plaćanja.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110.794,84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Nedospjele obveze odnose se na obveze za materijalne rashode prema ulaznim računima, obveze za plaću i prijevoz zaposlenika na posao i s posla za lipanj 2025. god. te obveze za nabavu nefinancijske imovine.
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6426c84f374a69" /></Relationships>
</file>